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A7E2">
      <w:pPr>
        <w:pStyle w:val="3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4A883DB3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4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499E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67B3E97F">
            <w:pPr>
              <w:widowControl/>
              <w:spacing w:line="560" w:lineRule="exact"/>
              <w:ind w:firstLine="640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7C11956F">
            <w:pPr>
              <w:widowControl/>
              <w:spacing w:line="560" w:lineRule="exact"/>
              <w:ind w:firstLine="2580" w:firstLineChars="803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31BA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69D9EE2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891857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563F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9064398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05C0BD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协会工作报告</w:t>
            </w:r>
          </w:p>
        </w:tc>
      </w:tr>
      <w:tr w14:paraId="6375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4AFB9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30D4816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宣读分支机构25年规范化管理建设要求</w:t>
            </w:r>
          </w:p>
        </w:tc>
      </w:tr>
      <w:tr w14:paraId="09B2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3F529E3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5F8B9A7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优秀分支机构分享经验</w:t>
            </w:r>
          </w:p>
        </w:tc>
      </w:tr>
      <w:tr w14:paraId="6DAE0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F32687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BDF398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先进工作者分享经验</w:t>
            </w:r>
          </w:p>
        </w:tc>
      </w:tr>
      <w:tr w14:paraId="6CCC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4999B65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9:50-11:30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28F57D1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听取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0"/>
                <w:kern w:val="0"/>
                <w:sz w:val="32"/>
                <w:szCs w:val="32"/>
              </w:rPr>
              <w:t>各分支机构汇报24年度工作总结及25年工作计划</w:t>
            </w:r>
          </w:p>
        </w:tc>
      </w:tr>
      <w:tr w14:paraId="73DE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702858F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11:30-12:00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56EA417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2176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341E88E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1278057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2A8D1C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2025-07-09T02:35:54Z</dcterms:created>
  <dc:creator>Lenovo</dc:creator>
  <cp:lastModifiedBy>cunese</cp:lastModifiedBy>
  <dcterms:modified xsi:type="dcterms:W3CDTF">2025-07-09T02:36:04Z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eyJoZGlkIjoiZWJmMjUxMDZlOTdhZjBmNTNjNjllODIwZjcyMGY5MmMiLCJ1c2VySWQiOiI1Njc1MTUwNTUifQ==</vt:lpwstr>
  </property>
  <property fmtid="{D5CDD505-2E9C-101B-9397-08002B2CF9AE}" pid="4" name="ICV">
    <vt:lpwstr>6D44A348CE634310BB6206241D88B502_12</vt:lpwstr>
  </property>
</Properties>
</file>